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801709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8C5307">
              <w:rPr>
                <w:sz w:val="22"/>
                <w:szCs w:val="22"/>
              </w:rPr>
              <w:t>30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8C5307">
        <w:rPr>
          <w:u w:val="single"/>
        </w:rPr>
        <w:t>Πέμπ</w:t>
      </w:r>
      <w:r w:rsidR="00360C6E">
        <w:rPr>
          <w:u w:val="single"/>
        </w:rPr>
        <w:t>τη</w:t>
      </w:r>
      <w:r w:rsidR="007E64B2">
        <w:rPr>
          <w:u w:val="single"/>
        </w:rPr>
        <w:t xml:space="preserve">, </w:t>
      </w:r>
      <w:r w:rsidR="00360C6E">
        <w:rPr>
          <w:u w:val="single"/>
        </w:rPr>
        <w:t>3</w:t>
      </w:r>
      <w:r w:rsidR="008C5307">
        <w:rPr>
          <w:u w:val="single"/>
        </w:rPr>
        <w:t>1</w:t>
      </w:r>
      <w:r w:rsidR="007E64B2">
        <w:rPr>
          <w:u w:val="single"/>
        </w:rPr>
        <w:t xml:space="preserve">/10/2024 </w:t>
      </w:r>
      <w:r w:rsidR="00C73769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E3ED6" w:rsidRDefault="001612AE" w:rsidP="00F537A6">
      <w:pPr>
        <w:spacing w:before="240" w:line="360" w:lineRule="auto"/>
        <w:ind w:left="-851" w:right="-624"/>
        <w:jc w:val="both"/>
      </w:pPr>
      <w:r>
        <w:tab/>
      </w:r>
      <w:r w:rsidR="00360C6E">
        <w:t>Την</w:t>
      </w:r>
      <w:r w:rsidR="00C73769">
        <w:t xml:space="preserve"> </w:t>
      </w:r>
      <w:r w:rsidR="008C5307">
        <w:t>Πέμπ</w:t>
      </w:r>
      <w:r w:rsidR="00360C6E">
        <w:t>τη</w:t>
      </w:r>
      <w:r w:rsidR="009459BB">
        <w:t xml:space="preserve">, </w:t>
      </w:r>
      <w:r w:rsidR="00360C6E">
        <w:t>30</w:t>
      </w:r>
      <w:r w:rsidR="00E60144">
        <w:t>/10</w:t>
      </w:r>
      <w:r w:rsidR="009459BB">
        <w:t>/2024 στις ΤΚ:</w:t>
      </w:r>
      <w:r w:rsidR="00CB10AB">
        <w:t xml:space="preserve"> </w:t>
      </w:r>
      <w:r w:rsidR="004C79D1">
        <w:t xml:space="preserve">Κάμπου, </w:t>
      </w:r>
      <w:proofErr w:type="spellStart"/>
      <w:r w:rsidR="00CB10AB">
        <w:t>Λαιίκων</w:t>
      </w:r>
      <w:proofErr w:type="spellEnd"/>
      <w:r w:rsidR="00CB10AB">
        <w:t xml:space="preserve">, </w:t>
      </w:r>
      <w:r w:rsidR="009E3ED6" w:rsidRPr="009E3ED6">
        <w:t xml:space="preserve"> </w:t>
      </w:r>
      <w:r w:rsidR="00F537A6">
        <w:t xml:space="preserve">Κατσαρού, </w:t>
      </w:r>
      <w:proofErr w:type="spellStart"/>
      <w:r w:rsidR="00F537A6">
        <w:t>Σολακίου</w:t>
      </w:r>
      <w:proofErr w:type="spellEnd"/>
      <w:r w:rsidR="00F537A6">
        <w:t xml:space="preserve">, </w:t>
      </w:r>
      <w:proofErr w:type="spellStart"/>
      <w:r w:rsidR="00F537A6">
        <w:t>Καλυβίων</w:t>
      </w:r>
      <w:proofErr w:type="spellEnd"/>
      <w:r w:rsidR="00F537A6">
        <w:t xml:space="preserve">, </w:t>
      </w:r>
      <w:proofErr w:type="spellStart"/>
      <w:r w:rsidR="00F537A6">
        <w:t>Σιάμου</w:t>
      </w:r>
      <w:proofErr w:type="spellEnd"/>
      <w:r w:rsidR="00F537A6">
        <w:t>, Μερόπης,</w:t>
      </w:r>
      <w:r w:rsidR="00076869">
        <w:t xml:space="preserve"> </w:t>
      </w:r>
      <w:r w:rsidR="0090624F">
        <w:t xml:space="preserve">Οιχαλίας, </w:t>
      </w:r>
      <w:proofErr w:type="spellStart"/>
      <w:r w:rsidR="00076869">
        <w:t>Δεσύλλα</w:t>
      </w:r>
      <w:proofErr w:type="spellEnd"/>
      <w:r w:rsidR="00076869">
        <w:t>,</w:t>
      </w:r>
      <w:r w:rsidR="00497CE4">
        <w:t xml:space="preserve"> </w:t>
      </w:r>
      <w:proofErr w:type="spellStart"/>
      <w:r w:rsidR="00497CE4">
        <w:t>Καρνασίου</w:t>
      </w:r>
      <w:proofErr w:type="spellEnd"/>
      <w:r w:rsidR="00497CE4">
        <w:t>,</w:t>
      </w:r>
      <w:r w:rsidR="00CF788D">
        <w:t xml:space="preserve"> </w:t>
      </w:r>
      <w:proofErr w:type="spellStart"/>
      <w:r w:rsidR="00497CE4">
        <w:t>Πανιπερίου</w:t>
      </w:r>
      <w:proofErr w:type="spellEnd"/>
      <w:r w:rsidR="00497CE4">
        <w:t>,</w:t>
      </w:r>
      <w:r w:rsidR="00F537A6">
        <w:t xml:space="preserve"> </w:t>
      </w:r>
      <w:proofErr w:type="spellStart"/>
      <w:r w:rsidR="00F537A6">
        <w:t>Άριος</w:t>
      </w:r>
      <w:proofErr w:type="spellEnd"/>
      <w:r w:rsidR="00F537A6">
        <w:t>,</w:t>
      </w:r>
      <w:r w:rsidR="00497CE4">
        <w:t xml:space="preserve"> Άμμου,</w:t>
      </w:r>
      <w:r w:rsidR="00F537A6">
        <w:t xml:space="preserve"> </w:t>
      </w:r>
      <w:proofErr w:type="spellStart"/>
      <w:r w:rsidR="00076869">
        <w:t>Δάρα</w:t>
      </w:r>
      <w:proofErr w:type="spellEnd"/>
      <w:r w:rsidR="00076869">
        <w:t>,</w:t>
      </w:r>
      <w:r w:rsidR="00F537A6">
        <w:t xml:space="preserve"> </w:t>
      </w:r>
      <w:proofErr w:type="spellStart"/>
      <w:r w:rsidR="00F537A6">
        <w:t>Στρεφίου</w:t>
      </w:r>
      <w:proofErr w:type="spellEnd"/>
      <w:r w:rsidR="00F537A6">
        <w:t xml:space="preserve">, </w:t>
      </w:r>
      <w:r w:rsidR="007D2752">
        <w:t>Κυνηγού</w:t>
      </w:r>
      <w:r w:rsidR="001355E8">
        <w:t xml:space="preserve"> </w:t>
      </w:r>
      <w:r w:rsidR="00F537A6">
        <w:t xml:space="preserve">και στην ΔΚ Πύλου </w:t>
      </w:r>
      <w:r w:rsidR="0090624F">
        <w:t xml:space="preserve">(περιοχές: </w:t>
      </w:r>
      <w:proofErr w:type="spellStart"/>
      <w:r w:rsidR="0090624F">
        <w:t>Άγ.Νικόλαος</w:t>
      </w:r>
      <w:proofErr w:type="spellEnd"/>
      <w:r w:rsidR="0090624F">
        <w:t xml:space="preserve">, </w:t>
      </w:r>
      <w:proofErr w:type="spellStart"/>
      <w:r w:rsidR="0090624F">
        <w:t>Κοκκινόλακα</w:t>
      </w:r>
      <w:proofErr w:type="spellEnd"/>
      <w:r w:rsidR="0090624F">
        <w:t xml:space="preserve">, Παλιό Νερό, Σφαγεία, περιοχή Μηδέν, </w:t>
      </w:r>
      <w:proofErr w:type="spellStart"/>
      <w:r w:rsidR="0090624F">
        <w:t>Πύλα</w:t>
      </w:r>
      <w:proofErr w:type="spellEnd"/>
      <w:r w:rsidR="0090624F">
        <w:t xml:space="preserve"> </w:t>
      </w:r>
      <w:r w:rsidR="00F537A6">
        <w:t>).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249C7"/>
    <w:rsid w:val="000305C3"/>
    <w:rsid w:val="000308E0"/>
    <w:rsid w:val="000309F9"/>
    <w:rsid w:val="000316FC"/>
    <w:rsid w:val="000373CA"/>
    <w:rsid w:val="00044BF4"/>
    <w:rsid w:val="000452E1"/>
    <w:rsid w:val="000453F6"/>
    <w:rsid w:val="00045A02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869"/>
    <w:rsid w:val="000769A1"/>
    <w:rsid w:val="00076EF0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E7E30"/>
    <w:rsid w:val="000F190E"/>
    <w:rsid w:val="000F22ED"/>
    <w:rsid w:val="00102533"/>
    <w:rsid w:val="00103688"/>
    <w:rsid w:val="0011085A"/>
    <w:rsid w:val="0011115D"/>
    <w:rsid w:val="0011204F"/>
    <w:rsid w:val="0011304E"/>
    <w:rsid w:val="001145C7"/>
    <w:rsid w:val="00114A2A"/>
    <w:rsid w:val="00115EA5"/>
    <w:rsid w:val="00117661"/>
    <w:rsid w:val="00121FCE"/>
    <w:rsid w:val="00123AB6"/>
    <w:rsid w:val="00127326"/>
    <w:rsid w:val="00127857"/>
    <w:rsid w:val="0013349F"/>
    <w:rsid w:val="001355E8"/>
    <w:rsid w:val="00137077"/>
    <w:rsid w:val="001409F4"/>
    <w:rsid w:val="00145268"/>
    <w:rsid w:val="00145A2D"/>
    <w:rsid w:val="00145BC1"/>
    <w:rsid w:val="001465A7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06FC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0C6E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348A4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97CE4"/>
    <w:rsid w:val="004A4C55"/>
    <w:rsid w:val="004B0DBC"/>
    <w:rsid w:val="004B1171"/>
    <w:rsid w:val="004B1321"/>
    <w:rsid w:val="004B1C8D"/>
    <w:rsid w:val="004B5FA2"/>
    <w:rsid w:val="004C5980"/>
    <w:rsid w:val="004C79D1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3540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05F86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1863"/>
    <w:rsid w:val="007943DF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2752"/>
    <w:rsid w:val="007D4E4E"/>
    <w:rsid w:val="007D54EE"/>
    <w:rsid w:val="007D7044"/>
    <w:rsid w:val="007D7656"/>
    <w:rsid w:val="007E1C87"/>
    <w:rsid w:val="007E34FE"/>
    <w:rsid w:val="007E3A6B"/>
    <w:rsid w:val="007E4BA1"/>
    <w:rsid w:val="007E64B2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307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0624F"/>
    <w:rsid w:val="00911F84"/>
    <w:rsid w:val="00917052"/>
    <w:rsid w:val="00923807"/>
    <w:rsid w:val="00923B25"/>
    <w:rsid w:val="009311AC"/>
    <w:rsid w:val="00931D77"/>
    <w:rsid w:val="00932EBA"/>
    <w:rsid w:val="00934E18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0488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3ED6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34D8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238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019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72DBC"/>
    <w:rsid w:val="00B776F9"/>
    <w:rsid w:val="00B83D50"/>
    <w:rsid w:val="00B86323"/>
    <w:rsid w:val="00B86A29"/>
    <w:rsid w:val="00B92ED8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774E1"/>
    <w:rsid w:val="00C80A18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0AB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CF788D"/>
    <w:rsid w:val="00D03967"/>
    <w:rsid w:val="00D053C6"/>
    <w:rsid w:val="00D06A98"/>
    <w:rsid w:val="00D06B78"/>
    <w:rsid w:val="00D07F65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4B4D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37A8A"/>
    <w:rsid w:val="00E415CA"/>
    <w:rsid w:val="00E42252"/>
    <w:rsid w:val="00E475C9"/>
    <w:rsid w:val="00E52537"/>
    <w:rsid w:val="00E53B0C"/>
    <w:rsid w:val="00E54866"/>
    <w:rsid w:val="00E54ADD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37E16"/>
    <w:rsid w:val="00F4127D"/>
    <w:rsid w:val="00F42208"/>
    <w:rsid w:val="00F43BD1"/>
    <w:rsid w:val="00F46E03"/>
    <w:rsid w:val="00F511FE"/>
    <w:rsid w:val="00F537A6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4AA3"/>
    <w:rsid w:val="00F87ED2"/>
    <w:rsid w:val="00F910B1"/>
    <w:rsid w:val="00F9315E"/>
    <w:rsid w:val="00F9561A"/>
    <w:rsid w:val="00F97EE4"/>
    <w:rsid w:val="00FA03AF"/>
    <w:rsid w:val="00FA04CB"/>
    <w:rsid w:val="00FA7568"/>
    <w:rsid w:val="00FB02FF"/>
    <w:rsid w:val="00FB24EC"/>
    <w:rsid w:val="00FB5853"/>
    <w:rsid w:val="00FB62F1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9</cp:revision>
  <cp:lastPrinted>2012-05-08T10:00:00Z</cp:lastPrinted>
  <dcterms:created xsi:type="dcterms:W3CDTF">2024-10-30T08:52:00Z</dcterms:created>
  <dcterms:modified xsi:type="dcterms:W3CDTF">2024-10-30T11:55:00Z</dcterms:modified>
</cp:coreProperties>
</file>